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80" w:rsidRPr="00103318" w:rsidRDefault="00F37980" w:rsidP="00F37980">
      <w:pPr>
        <w:spacing w:after="0" w:line="276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Холера</w:t>
      </w: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это острая кишечная инфекция, возникающая при поражении человека холерным вибрионом. Холера проявляется выраженной частой диареей, обильной многократной рвотой, что приводит к значительной потере жидкости и обезвоживанию организма. Признаками дегидратации служат сухость кожных покровов и слизистых, снижением тургора тканей и сморщивание кожи, заострение черт лица,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олигоанурия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Диагноз холеры подтверждается результатами бактериологического посева каловых и рвотных масс, серологическими методиками. Лечение включает изоляцию холерного больного, парентеральную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регидратацию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 терапию тетрациклиновыми антибиотиками.</w:t>
      </w:r>
    </w:p>
    <w:p w:rsidR="00F37980" w:rsidRPr="00103318" w:rsidRDefault="00F37980" w:rsidP="00103318">
      <w:pPr>
        <w:tabs>
          <w:tab w:val="left" w:pos="3270"/>
        </w:tabs>
        <w:spacing w:after="0" w:line="276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4"/>
          <w:szCs w:val="24"/>
        </w:rPr>
      </w:pPr>
      <w:bookmarkStart w:id="0" w:name="detail"/>
      <w:bookmarkEnd w:id="0"/>
      <w:r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>Общие сведения</w:t>
      </w:r>
      <w:r w:rsidR="00103318"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ab/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Холера – особо опасная инфекция, вызываемая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энтеропатогенной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бактерией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Vibrio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cholerae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протекающая с развитием тяжелого </w:t>
      </w:r>
      <w:hyperlink r:id="rId5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гастроэнтерита</w:t>
        </w:r>
      </w:hyperlink>
      <w:r w:rsid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и выраженным </w:t>
      </w:r>
      <w:hyperlink r:id="rId6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обезвоживанием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вплоть до развития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дигидратационного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шока. Холера имеет тенденцию к эпидемическому распространению и высокую летальность, поэтому отнесена ВОЗ к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высокопатогенным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карантинным инфекциям.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часто эпидемические вспышки холеры регистрируются в странах Африки, Латинской Америки, Юго-Восточной Азии. По оценкам ВОЗ, ежегодно холерой заражается 3-5 млн. человек, около 100-120 тыс. случаев заболевания заканчивается смертельно. Т. о., на сегодняшний день холера остается глобальной проблемой мирового здравоохранения.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4"/>
          <w:szCs w:val="24"/>
        </w:rPr>
      </w:pPr>
      <w:bookmarkStart w:id="1" w:name="h2_2"/>
      <w:bookmarkEnd w:id="1"/>
      <w:r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>Причины холеры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4"/>
          <w:szCs w:val="24"/>
        </w:rPr>
      </w:pPr>
      <w:bookmarkStart w:id="2" w:name="h3_3"/>
      <w:bookmarkEnd w:id="2"/>
      <w:r w:rsidRPr="00103318">
        <w:rPr>
          <w:rFonts w:ascii="Times New Roman" w:eastAsia="Times New Roman" w:hAnsi="Times New Roman" w:cs="Times New Roman"/>
          <w:color w:val="1C9CE1"/>
          <w:sz w:val="24"/>
          <w:szCs w:val="24"/>
        </w:rPr>
        <w:t>Характеристика возбудителя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сегодняшний день обнаружено более 150 типов холерных вибрионов, различающихся по серологическим признакам. Холерные вибрионы разделяют на две группы: А и В. Холеру </w:t>
      </w:r>
      <w:proofErr w:type="gram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вызывают вибрионы группы А. Холерный вибрион представляет</w:t>
      </w:r>
      <w:proofErr w:type="gram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 грамотрицательную подвижную бактерию, выделяющую в процессе жизнедеятельности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термостабильный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эндотоксин, а также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термолабильный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энтеротоксин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холероген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Возбудитель устойчив к действию окружающей среды, сохраняет жизнеспособность в проточном водоеме до нескольких месяцев, до 30 часов в сточных водах. Хорошей питательной средой является молоко, мясо. Холерный вибрион погибает при химическом дезинфицировании, кипячении, высушивании и воздействии солнечного света. Отмечается чувствительность к тетрациклинам и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фторхинолонам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4"/>
          <w:szCs w:val="24"/>
        </w:rPr>
      </w:pPr>
      <w:bookmarkStart w:id="3" w:name="h3_6"/>
      <w:bookmarkEnd w:id="3"/>
      <w:r w:rsidRPr="00103318">
        <w:rPr>
          <w:rFonts w:ascii="Times New Roman" w:eastAsia="Times New Roman" w:hAnsi="Times New Roman" w:cs="Times New Roman"/>
          <w:color w:val="1C9CE1"/>
          <w:sz w:val="24"/>
          <w:szCs w:val="24"/>
        </w:rPr>
        <w:t>Пути передачи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Резервуаром и источником инфекции является больной человек или транзиторный носитель инфекции. Наиболее активно выделяются бактерии </w:t>
      </w:r>
      <w:proofErr w:type="gram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с рвотными и фекальными массами. Тяжело выявить инфицированных лиц с легко протекающей холерой, однако они представляют опасность в плане заражения. В очаге обнаружения холеры обследованию подвергаются все контактировавшие, вне зависимости от клинических проявлений. Заразность с течением времени уменьшается, и обычно к 3-й неделе происходит выздоровление и освобождение от бактерий. Однако в некоторых случаях носительство продолжается до года и более. Удлинению срока носительства способствуют сопутствующие </w:t>
      </w:r>
      <w:hyperlink r:id="rId7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инфекции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Холера передается бытовым (грязные руки, предметы, посуда), пищевым и водным путем по фекально-оральному механизму. В настоящее время особое место в передаче холеры отводится мухам. Водный путь (загрязненный источник воды) является наиболее распространенным. Холера является инфекцией с высокой восприимчивостью, наиболее легко происходит заражение людей с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гипоацидозом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 некоторыми анемиями, зараженных гельминтами, злоупотребляющих алкоголем.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4"/>
          <w:szCs w:val="24"/>
        </w:rPr>
      </w:pPr>
      <w:bookmarkStart w:id="4" w:name="h2_9"/>
      <w:bookmarkEnd w:id="4"/>
      <w:r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>Симптомы холеры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4"/>
          <w:szCs w:val="24"/>
        </w:rPr>
      </w:pPr>
      <w:bookmarkStart w:id="5" w:name="h3_10"/>
      <w:bookmarkEnd w:id="5"/>
      <w:r w:rsidRPr="00103318">
        <w:rPr>
          <w:rFonts w:ascii="Times New Roman" w:eastAsia="Times New Roman" w:hAnsi="Times New Roman" w:cs="Times New Roman"/>
          <w:color w:val="1C9CE1"/>
          <w:sz w:val="24"/>
          <w:szCs w:val="24"/>
        </w:rPr>
        <w:t>Диспепсия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Инкубационный период при заражении холерным вибрионом продолжается от нескольких часов до 5 дней. Начало заболевания острое, обычно ночью или утром. Первым </w:t>
      </w: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симптомом выступает интенсивный безболезненный позыв к дефекации, сопровождающийся дискомфортным ощущением в животе. Первоначально стул имеет разжиженную консистенцию, но сохраняет каловый характер. Довольно быстро частота дефекаций увеличивается, достигает 10 и более раз за сутки, при этом стул становится бесцветным, </w:t>
      </w:r>
      <w:hyperlink r:id="rId8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водянистым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холере испражнения обычно не зловонны в отличие от других инфекционных заболеваний кишечника. Повышенная секреция воды в просвет кишечника способствует заметному увеличению количества выделяемых каловых масс. В 20-40% случаев кал приобретает консистенцию рисового отвара. Обычно испражнения имеют вид зеленоватой жидкости с белыми рыхлыми хлопьями, похожими </w:t>
      </w:r>
      <w:proofErr w:type="gram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рисовые.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Нередко отмечается урчание, бурление в животе, дискомфорт, переливание жидкости в кишечнике. Прогрессирующая потеря жидкости организмом приводит к проявлению симптомов обезвоживания: </w:t>
      </w:r>
      <w:hyperlink r:id="rId9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сухость во рту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10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жажда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 появляется ощущение похолодания конечностей, звон в ушах, головокружение. Эти симптомы говорят о значительном обезвоживании и требуют экстренных мер по восстановлению водно-солевого гомеостаза организма.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к </w:t>
      </w:r>
      <w:hyperlink r:id="rId11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диарее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 зачастую присоединяется </w:t>
      </w:r>
      <w:hyperlink r:id="rId12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частая рвота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потеря жидкости усугубляется. Рвота возникает обычно спустя несколько часов, иногда на следующие сутки после начала диареи. Рвота обильная, многократная, начинается внезапно и сопровождается интенсивным ощущением тошноты и болью в верхней части живота под грудиной. Первоначально в рвотных массах отмечаются остатки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непереваренной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пищи, затем </w:t>
      </w:r>
      <w:hyperlink r:id="rId13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желчь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. Со временем, рвотные массы также становятся водянистыми, приобретая иногда вид рисового отвара.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рвоте происходит быстрая потеря организмом ионов натрия и хлора, что приводит к развитию </w:t>
      </w:r>
      <w:hyperlink r:id="rId14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мышечных судорог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 сначала в мышцах пальцев, затем всех конечностей. При прогрессировании дефицита электролитов мышечные судороги могут распространиться на спину, диафрагму, брюшную стенку. Мышечная слабость и головокружение нарастает вплоть до невозможности подняться и дойти до туалета. При этом сознание полностью сохраняется.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Выраженной болезненности в животе, в отличие от большинства кишечных инфекций, при холере не отмечается. 20-30% больных жалуются на умеренную боль. Не характерна и лихорадка, температура тела остается в нормальных пределах, иногда достигает субфебрильных цифр. Выраженная дегидратация проявляется снижением температуры тела.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4"/>
          <w:szCs w:val="24"/>
        </w:rPr>
      </w:pPr>
      <w:bookmarkStart w:id="6" w:name="h3_17"/>
      <w:bookmarkEnd w:id="6"/>
      <w:r w:rsidRPr="00103318">
        <w:rPr>
          <w:rFonts w:ascii="Times New Roman" w:eastAsia="Times New Roman" w:hAnsi="Times New Roman" w:cs="Times New Roman"/>
          <w:color w:val="1C9CE1"/>
          <w:sz w:val="24"/>
          <w:szCs w:val="24"/>
        </w:rPr>
        <w:t>Дегидратация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Сильное обезвоживание характеризуется побледнением и сухостью кожных покровов, снижением тургора, цианозом губ и дистальных фаланг пальцев. Сухость характерна и для слизистых оболочек. С прогрессированием дегидратации отмечают осиплость голоса (снижается эластичность голосовых связок) вплоть до </w:t>
      </w:r>
      <w:hyperlink r:id="rId15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афонии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Черты лица заостряются, живот втягивается, под глазами проявляются темные круги, сморщивается кожа на подушечках пальцев и ладонях (симптом «рук прачки»). При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физикальном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исследовании отмечается </w:t>
      </w:r>
      <w:hyperlink r:id="rId16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тахикардия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17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артериальная гипотензия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. Снижается количество мочи.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Дегидратация организма различается по стадиям:</w:t>
      </w:r>
    </w:p>
    <w:p w:rsidR="00F37980" w:rsidRPr="00103318" w:rsidRDefault="00F37980" w:rsidP="00103318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первой стадии потеря жидкости не превышает 3% от массы тела;</w:t>
      </w:r>
    </w:p>
    <w:p w:rsidR="00F37980" w:rsidRPr="00103318" w:rsidRDefault="00F37980" w:rsidP="00103318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второй - 3-6%;</w:t>
      </w:r>
    </w:p>
    <w:p w:rsidR="00F37980" w:rsidRPr="00103318" w:rsidRDefault="00F37980" w:rsidP="00103318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третьей - 6-9%;</w:t>
      </w:r>
    </w:p>
    <w:p w:rsidR="00F37980" w:rsidRPr="00103318" w:rsidRDefault="00F37980" w:rsidP="00103318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на четвертой стадии потеря жидкости превышает 9% массы тела.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потере более 10% массы тела и ионов происходит прогрессирование дегидратации. Возникает </w:t>
      </w:r>
      <w:hyperlink r:id="rId18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анурия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значительная гипотермия, пульс в лучевой артерии не прощупывается, периферическое артериальное давление не определяется. При этом диарея и рвота становятся менее частыми в связи с параличом кишечной мускулатуры. Данное состояние называют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дегидратационным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шоком.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Нарастание клинических проявлений холеры может прекратиться на любом этапе, течение может быть стертым. В зависимости от тяжести дегидратации и скорости нарастания потери жидкости различают холеру легкого, среднетяжелого и тяжелого течения. Тяжелая форма холеры отмечается у 10-12% пациентов. В случаях молниеносного течения развитие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дегидратационного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шока возможно в течение первых 10-12 часов.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4"/>
          <w:szCs w:val="24"/>
        </w:rPr>
      </w:pPr>
      <w:bookmarkStart w:id="7" w:name="h2_23"/>
      <w:bookmarkEnd w:id="7"/>
      <w:r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>Осложнения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Холера может осложняться присоединением других инфекций, развитием </w:t>
      </w:r>
      <w:proofErr w:type="spellStart"/>
      <w:r w:rsidR="00E03D4C"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"https://www.krasotaimedicina.ru/diseases/zabolevanija_pulmonology/pneumonia" </w:instrText>
      </w:r>
      <w:r w:rsidR="00E03D4C"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331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пневмонии</w:t>
      </w:r>
      <w:r w:rsidR="00E03D4C"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hyperlink r:id="rId19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тромбофлебита</w:t>
        </w:r>
        <w:proofErr w:type="spellEnd"/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 и гнойного воспаления (</w:t>
      </w:r>
      <w:hyperlink r:id="rId20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абсцесс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21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флегмона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), тромбозом сосудов брыжейки и ишемией кишечника. Значительная потеря жидкости может способствовать возникновению расстройств мозгового кровообращения, </w:t>
      </w:r>
      <w:hyperlink r:id="rId22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инфарктом миокарда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4"/>
          <w:szCs w:val="24"/>
        </w:rPr>
      </w:pPr>
      <w:bookmarkStart w:id="8" w:name="h2_25"/>
      <w:bookmarkEnd w:id="8"/>
      <w:r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>Диагностика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Тяжело протекающая холера диагностируется на основании данных клинической картины и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физикального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обследования. Окончательный диагноз устанавливают на основании бактериологического посева каловых или рвотных масс, кишечного содержимого (секционный анализ). Материал для посева необходимо доставить в лабораторию не позднее 3-х часов с момента получения, результат будет готов через 3-4 суток.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Существуют серологические методики выявления заражения холерным вибрионом (РА, РНГА,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виброцидный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тест, ИФА, РКА), но они не являются достаточными для окончательной диагностики, считаясь методами ускоренного ориентировочного определения возбудителя. Ускоренными методиками для подтверждения предварительного диагноза можно считать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люминисцентно-серологический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анализ, микроскопию в темном поле иммобилизованных </w:t>
      </w:r>
      <w:proofErr w:type="spellStart"/>
      <w:proofErr w:type="gram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О-сывороткой</w:t>
      </w:r>
      <w:proofErr w:type="spellEnd"/>
      <w:proofErr w:type="gram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вибрионов.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4"/>
          <w:szCs w:val="24"/>
        </w:rPr>
      </w:pPr>
      <w:bookmarkStart w:id="9" w:name="h2_28"/>
      <w:bookmarkEnd w:id="9"/>
      <w:r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>Лечение холеры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основную опасность при холере представляет прогрессирующая потеря жидкости, ее восполнение в организме является основной задачей лечения этой инфекции. Лечение холеры производится в специализированном инфекционном отделении с изолированной палате (боксе), оборудованной специальной койкой (койка Филипса) с весами и посудой для сбора испражнений. Для точного определения степени дегидратации ведут учет их объема, регулярно определяют гематокрит, уровень ионов в сыворотке, кислотно-щелочной показатель.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Первичные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регидратационные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включают восполнение имеющегося дефицита жидкости и электролитов. В тяжелых случаях производится внутривенное введение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полиионных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растворов. После этого производят </w:t>
      </w:r>
      <w:proofErr w:type="gram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компенсаторную</w:t>
      </w:r>
      <w:proofErr w:type="gram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регидратацию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Введение жидкости происходит в соответствии с ее потерями. Возникновение рвоты не является противопоказанием к продолжению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регидратации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После восстановления водно-солевого баланса и прекращения рвоты начинают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антибиотикотерапию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холере назначают курс препаратов тетрациклинового ряда, а в случае повторного выделения бактерий –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хлорамфеникол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Специфической диеты при холере нет, </w:t>
      </w:r>
      <w:proofErr w:type="gram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могут рекомендовать стол №4, а после стихания выраженной симптоматики и восстановления кишечной деятельности (3-5-й день лечения) - питание без особенностей. </w:t>
      </w:r>
      <w:proofErr w:type="gram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Перенесшим</w:t>
      </w:r>
      <w:proofErr w:type="gram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холеру рекомендовано увеличить в рационе содержащие калия продукты (курага, томатный и апельсиновый соки, бананы).</w:t>
      </w:r>
    </w:p>
    <w:p w:rsidR="00F37980" w:rsidRPr="00103318" w:rsidRDefault="00F37980" w:rsidP="00F37980">
      <w:pPr>
        <w:spacing w:after="0" w:line="276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4"/>
          <w:szCs w:val="24"/>
        </w:rPr>
      </w:pPr>
      <w:bookmarkStart w:id="10" w:name="h2_32"/>
      <w:bookmarkEnd w:id="10"/>
      <w:r w:rsidRPr="00103318">
        <w:rPr>
          <w:rFonts w:ascii="Times New Roman" w:eastAsia="Times New Roman" w:hAnsi="Times New Roman" w:cs="Times New Roman"/>
          <w:color w:val="36AFA8"/>
          <w:sz w:val="24"/>
          <w:szCs w:val="24"/>
        </w:rPr>
        <w:t>Прогноз и профилактика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своевременном и полном лечении после подавления инфекции наступает выздоровление. В настоящее время современные препараты эффективно действуют на холерный вибрион, а </w:t>
      </w:r>
      <w:proofErr w:type="spellStart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регидратационная</w:t>
      </w:r>
      <w:proofErr w:type="spellEnd"/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терапия способствует профилактике осложнений.</w:t>
      </w:r>
    </w:p>
    <w:p w:rsidR="00F37980" w:rsidRPr="00103318" w:rsidRDefault="00F37980" w:rsidP="00F37980">
      <w:pPr>
        <w:spacing w:after="0" w:line="27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Специфическая профилактика холеры заключается в однократной </w:t>
      </w:r>
      <w:hyperlink r:id="rId23" w:history="1">
        <w:r w:rsidRPr="001033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вакцинации холерным токсином</w:t>
        </w:r>
      </w:hyperlink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перед посещением регионов с высоким уровнем распространения этого заболевания. При необходимости через 3 месяца производят ревакцинацию. Неспецифические меры профилактики холеры подразумевают соблюдение санитарно-</w:t>
      </w:r>
      <w:r w:rsidRPr="001033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гигиенических норм в населенных местах, на предприятиях питания, в районах забора вод для нужд населения. Индивидуальная профилактика заключается в соблюдении гигиены, кипячении употребляемой воды, мытье продуктов питания и их правильной кулинарной обработке. При обнаружении случая холеры эпидемиологический очаг подлежит дезинфекции, больные изолируются, все контактные лица наблюдаются в течение 5-ти дней на предмет выявления возможного заражения.</w:t>
      </w:r>
    </w:p>
    <w:p w:rsidR="00B85676" w:rsidRPr="00103318" w:rsidRDefault="00B85676">
      <w:pPr>
        <w:rPr>
          <w:rFonts w:ascii="Times New Roman" w:hAnsi="Times New Roman" w:cs="Times New Roman"/>
          <w:sz w:val="24"/>
          <w:szCs w:val="24"/>
        </w:rPr>
      </w:pPr>
    </w:p>
    <w:sectPr w:rsidR="00B85676" w:rsidRPr="00103318" w:rsidSect="00E0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2F40"/>
    <w:multiLevelType w:val="multilevel"/>
    <w:tmpl w:val="C930E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E8B5534"/>
    <w:multiLevelType w:val="multilevel"/>
    <w:tmpl w:val="20662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980"/>
    <w:rsid w:val="00103318"/>
    <w:rsid w:val="00B85676"/>
    <w:rsid w:val="00E03D4C"/>
    <w:rsid w:val="00F3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4C"/>
  </w:style>
  <w:style w:type="paragraph" w:styleId="1">
    <w:name w:val="heading 1"/>
    <w:basedOn w:val="a"/>
    <w:link w:val="10"/>
    <w:uiPriority w:val="9"/>
    <w:qFormat/>
    <w:rsid w:val="00F3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79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7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9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79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379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3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7980"/>
  </w:style>
  <w:style w:type="character" w:styleId="a4">
    <w:name w:val="Hyperlink"/>
    <w:basedOn w:val="a0"/>
    <w:uiPriority w:val="99"/>
    <w:semiHidden/>
    <w:unhideWhenUsed/>
    <w:rsid w:val="00F379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9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16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D0D0D0"/>
                        <w:left w:val="single" w:sz="4" w:space="9" w:color="D0D0D0"/>
                        <w:bottom w:val="single" w:sz="4" w:space="9" w:color="D0D0D0"/>
                        <w:right w:val="single" w:sz="4" w:space="9" w:color="D0D0D0"/>
                      </w:divBdr>
                    </w:div>
                  </w:divsChild>
                </w:div>
                <w:div w:id="16949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symptom/diarrhea/watery" TargetMode="External"/><Relationship Id="rId13" Type="http://schemas.openxmlformats.org/officeDocument/2006/relationships/hyperlink" Target="https://www.krasotaimedicina.ru/symptom/vomiting/bile" TargetMode="External"/><Relationship Id="rId18" Type="http://schemas.openxmlformats.org/officeDocument/2006/relationships/hyperlink" Target="https://www.krasotaimedicina.ru/symptom/urinary/anur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rasotaimedicina.ru/diseases/traumatology/phlegmon" TargetMode="External"/><Relationship Id="rId7" Type="http://schemas.openxmlformats.org/officeDocument/2006/relationships/hyperlink" Target="https://www.krasotaimedicina.ru/diseases/infectious" TargetMode="External"/><Relationship Id="rId12" Type="http://schemas.openxmlformats.org/officeDocument/2006/relationships/hyperlink" Target="https://www.krasotaimedicina.ru/symptom/vomiting" TargetMode="External"/><Relationship Id="rId17" Type="http://schemas.openxmlformats.org/officeDocument/2006/relationships/hyperlink" Target="https://www.krasotaimedicina.ru/diseases/zabolevanija_cardiology/arterial-hypotensio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zabolevanija_cardiology/tachycardia" TargetMode="External"/><Relationship Id="rId20" Type="http://schemas.openxmlformats.org/officeDocument/2006/relationships/hyperlink" Target="https://www.krasotaimedicina.ru/diseases/zabolevanija_pulmonology/lung_absce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urgent/dehydration" TargetMode="External"/><Relationship Id="rId11" Type="http://schemas.openxmlformats.org/officeDocument/2006/relationships/hyperlink" Target="https://www.krasotaimedicina.ru/symptom/diarrhe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krasotaimedicina.ru/diseases/zabolevanija_gastroenterologia/gastroenteritis" TargetMode="External"/><Relationship Id="rId15" Type="http://schemas.openxmlformats.org/officeDocument/2006/relationships/hyperlink" Target="https://www.krasotaimedicina.ru/diseases/speech-disorder/aphonia" TargetMode="External"/><Relationship Id="rId23" Type="http://schemas.openxmlformats.org/officeDocument/2006/relationships/hyperlink" Target="https://www.krasotaimedicina.ru/treatment/dangerous-infection/cholera" TargetMode="External"/><Relationship Id="rId10" Type="http://schemas.openxmlformats.org/officeDocument/2006/relationships/hyperlink" Target="https://www.krasotaimedicina.ru/symptom/thirst" TargetMode="External"/><Relationship Id="rId19" Type="http://schemas.openxmlformats.org/officeDocument/2006/relationships/hyperlink" Target="https://www.krasotaimedicina.ru/diseases/zabolevanija_phlebology/thrombophlebit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symptom/digestive/dry-mouth" TargetMode="External"/><Relationship Id="rId14" Type="http://schemas.openxmlformats.org/officeDocument/2006/relationships/hyperlink" Target="https://www.krasotaimedicina.ru/symptom/convulsion" TargetMode="External"/><Relationship Id="rId22" Type="http://schemas.openxmlformats.org/officeDocument/2006/relationships/hyperlink" Target="https://www.krasotaimedicina.ru/diseases/zabolevanija_cardiology/myocardial_infar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1872</Words>
  <Characters>10672</Characters>
  <Application>Microsoft Office Word</Application>
  <DocSecurity>0</DocSecurity>
  <Lines>88</Lines>
  <Paragraphs>25</Paragraphs>
  <ScaleCrop>false</ScaleCrop>
  <Company/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2023-07-21T08:46:00Z</dcterms:created>
  <dcterms:modified xsi:type="dcterms:W3CDTF">2023-07-21T08:50:00Z</dcterms:modified>
</cp:coreProperties>
</file>